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Career Pathways to Success Community School, Shasta County Juvenile Court School, Shasta County Independent Study Charter School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Combined Shasta County Office of Education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School Site Council (SSC)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September 27, 2016 3:30-5:00 pm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Agenda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Attendance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8"/>
          <w:szCs w:val="18"/>
          <w:u w:val="single"/>
          <w:rtl w:val="0"/>
        </w:rPr>
        <w:t xml:space="preserve">Principal(1) /Other (1)</w:t>
        <w:tab/>
        <w:t xml:space="preserve">Teacher (4)</w:t>
        <w:tab/>
        <w:tab/>
        <w:tab/>
        <w:t xml:space="preserve">Parent(3)/Student(2)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Approval of May 2016 Minutes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May Minutes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Discussion Item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Chair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RESOURCE 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LCAP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SPSA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I Compact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for 2016-17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Waiver for membership accepted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ByLaw Review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Operating Procedures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Robert’s Rules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Greene Act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Universal Complaint Procedures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Action Items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Policy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Involvement Policy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Program Updates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Pathways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JRF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SDC Classroom 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 Study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Excel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Other Items – Future Items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file/d/0B0MdsI2Qi822RTNkLTY1dmhqaXM/view?usp=sharing" TargetMode="External"/><Relationship Id="rId6" Type="http://schemas.openxmlformats.org/officeDocument/2006/relationships/hyperlink" Target="https://docs.google.com/document/d/1ZB6ykvmP4u5CWAYzjCBk2lk4pWZF6iWSFnkjeG1kDis/edit?usp=sharing" TargetMode="External"/></Relationships>
</file>